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uerpodetexto"/>
        <w:jc w:val="left"/>
        <w:rPr>
          <w:rFonts w:ascii="Noto Sans" w:hAnsi="Noto Sans"/>
          <w:b/>
          <w:b/>
          <w:bCs/>
          <w:sz w:val="22"/>
          <w:szCs w:val="22"/>
          <w:u w:val="single"/>
          <w:lang w:val="es-ES" w:bidi="hi-IN"/>
        </w:rPr>
      </w:pPr>
      <w:r>
        <w:rPr>
          <w:rFonts w:ascii="Noto Sans" w:hAnsi="Noto Sans"/>
          <w:b/>
          <w:bCs/>
          <w:sz w:val="22"/>
          <w:szCs w:val="22"/>
          <w:u w:val="single"/>
          <w:lang w:val="es-ES" w:bidi="hi-IN"/>
        </w:rPr>
      </w:r>
    </w:p>
    <w:p>
      <w:pPr>
        <w:pStyle w:val="Cuerpodetexto"/>
        <w:jc w:val="left"/>
        <w:rPr>
          <w:rFonts w:ascii="Noto Sans" w:hAnsi="Noto Sans"/>
          <w:b/>
          <w:b/>
          <w:bCs/>
          <w:sz w:val="22"/>
          <w:szCs w:val="22"/>
          <w:u w:val="single"/>
          <w:lang w:val="es-ES" w:bidi="hi-IN"/>
        </w:rPr>
      </w:pPr>
      <w:r>
        <w:rPr>
          <w:rFonts w:ascii="Noto Sans" w:hAnsi="Noto Sans"/>
          <w:b/>
          <w:bCs/>
          <w:sz w:val="22"/>
          <w:szCs w:val="22"/>
          <w:u w:val="single"/>
          <w:lang w:val="es-ES" w:bidi="hi-IN"/>
        </w:rPr>
      </w:r>
    </w:p>
    <w:p>
      <w:pPr>
        <w:pStyle w:val="Cuerpodetexto"/>
        <w:jc w:val="left"/>
        <w:rPr>
          <w:rFonts w:ascii="Noto Sans" w:hAnsi="Noto Sans"/>
          <w:sz w:val="22"/>
          <w:szCs w:val="22"/>
        </w:rPr>
      </w:pPr>
      <w:r>
        <w:rPr>
          <w:rFonts w:ascii="Noto Sans" w:hAnsi="Noto Sans"/>
          <w:b/>
          <w:bCs/>
          <w:sz w:val="22"/>
          <w:szCs w:val="22"/>
          <w:u w:val="single"/>
          <w:lang w:val="es-ES" w:bidi="hi-IN"/>
        </w:rPr>
        <w:t>INSTITUTO DE ESTUDIOS BALEÁRICOS</w:t>
      </w:r>
    </w:p>
    <w:p>
      <w:pPr>
        <w:pStyle w:val="Cuerpodetexto"/>
        <w:jc w:val="left"/>
        <w:rPr>
          <w:lang w:val="es-ES" w:bidi="hi-IN"/>
        </w:rPr>
      </w:pPr>
      <w:r>
        <w:rPr>
          <w:rFonts w:ascii="Noto Sans" w:hAnsi="Noto Sans"/>
          <w:b/>
          <w:bCs/>
          <w:sz w:val="22"/>
          <w:szCs w:val="22"/>
          <w:u w:val="single"/>
          <w:lang w:val="es-ES" w:bidi="hi-IN"/>
        </w:rPr>
        <w:t>FERIAS, FESTIVALES Y OTROS EVENTOS 2026-</w:t>
      </w:r>
      <w:r>
        <w:rPr>
          <w:rFonts w:ascii="Noto Sans" w:hAnsi="Noto Sans"/>
          <w:b/>
          <w:bCs/>
          <w:sz w:val="22"/>
          <w:szCs w:val="22"/>
          <w:u w:val="single"/>
          <w:lang w:val="es-ES" w:bidi="hi-IN"/>
        </w:rPr>
        <w:t>2027</w:t>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966"/>
        <w:gridCol w:w="10606"/>
      </w:tblGrid>
      <w:tr>
        <w:trPr>
          <w:trHeight w:val="450" w:hRule="atLeast"/>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uerpodetexto"/>
              <w:spacing w:lineRule="auto" w:line="240" w:before="285" w:after="285"/>
              <w:jc w:val="center"/>
              <w:rPr>
                <w:rFonts w:ascii="Noto Sans" w:hAnsi="Noto Sans"/>
                <w:sz w:val="22"/>
                <w:szCs w:val="22"/>
              </w:rPr>
            </w:pPr>
            <w:r>
              <w:rPr>
                <w:rFonts w:eastAsia="NSimSun" w:cs="Arial" w:ascii="Noto Sans" w:hAnsi="Noto Sans"/>
                <w:b/>
                <w:bCs/>
                <w:color w:val="auto"/>
                <w:kern w:val="2"/>
                <w:sz w:val="22"/>
                <w:szCs w:val="22"/>
                <w:u w:val="none"/>
                <w:lang w:val="es-ES" w:eastAsia="zh-CN" w:bidi="hi-IN"/>
              </w:rPr>
              <w:t>FICHA TÉCNICA DEL EVENTO</w:t>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es-ES" w:eastAsia="zh-CN" w:bidi="hi-IN"/>
              </w:rPr>
              <w:t>Nombre del evento</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es-ES" w:eastAsia="zh-CN" w:bidi="hi-IN"/>
              </w:rPr>
              <w:t>Tipo de evento / Disciplina</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es-ES" w:eastAsia="zh-CN" w:bidi="hi-IN"/>
              </w:rPr>
              <w:t>Fecha de inicio</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es-ES" w:eastAsia="zh-CN" w:bidi="hi-IN"/>
              </w:rPr>
              <w:t>Fecha de finalización</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es-ES" w:eastAsia="zh-CN" w:bidi="hi-IN"/>
              </w:rPr>
              <w:t>Isla donde se desarrolla</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es-ES" w:eastAsia="zh-CN" w:bidi="hi-IN"/>
              </w:rPr>
              <w:t>Página web del evento</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val="false"/>
                <w:bCs w:val="false"/>
                <w:i w:val="false"/>
                <w:iCs w:val="false"/>
                <w:sz w:val="22"/>
                <w:szCs w:val="22"/>
                <w:lang w:val="es-ES" w:bidi="hi-IN"/>
              </w:rPr>
              <w:t>Página web de la entidad organizadora, si es diferente a la del evento</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eastAsia="NSimSun" w:cs="Arial" w:ascii="Noto Sans" w:hAnsi="Noto Sans"/>
                <w:b w:val="false"/>
                <w:bCs w:val="false"/>
                <w:i w:val="false"/>
                <w:iCs w:val="false"/>
                <w:color w:val="auto"/>
                <w:kern w:val="2"/>
                <w:sz w:val="22"/>
                <w:szCs w:val="22"/>
                <w:lang w:val="es-ES" w:eastAsia="zh-CN" w:bidi="hi-IN"/>
              </w:rPr>
              <w:t>Página web donde se puede consultar la información e inscribirse en las jornadas profesionales, si procede</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val="false"/>
                <w:bCs w:val="false"/>
                <w:i w:val="false"/>
                <w:iCs w:val="false"/>
                <w:sz w:val="22"/>
                <w:szCs w:val="22"/>
                <w:lang w:val="es-ES" w:bidi="hi-IN"/>
              </w:rPr>
              <w:t>Redes sociales del evento</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396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val="false"/>
                <w:bCs w:val="false"/>
                <w:i w:val="false"/>
                <w:iCs w:val="false"/>
                <w:sz w:val="22"/>
                <w:szCs w:val="22"/>
                <w:lang w:val="es-ES" w:bidi="hi-IN"/>
              </w:rPr>
              <w:t>Otros enlaces de interés</w:t>
            </w:r>
          </w:p>
        </w:tc>
        <w:tc>
          <w:tcPr>
            <w:tcW w:w="1060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bl>
    <w:p>
      <w:pPr>
        <w:pStyle w:val="Normal"/>
        <w:jc w:val="left"/>
        <w:rPr>
          <w:rFonts w:ascii="Noto Sans" w:hAnsi="Noto Sans"/>
          <w:b/>
          <w:b/>
          <w:bCs/>
          <w:sz w:val="22"/>
          <w:szCs w:val="22"/>
          <w:lang w:val="es-ES" w:bidi="hi-IN"/>
        </w:rPr>
      </w:pPr>
      <w:r>
        <w:rPr>
          <w:rFonts w:ascii="Noto Sans" w:hAnsi="Noto Sans"/>
          <w:b/>
          <w:bCs/>
          <w:sz w:val="22"/>
          <w:szCs w:val="22"/>
          <w:lang w:val="es-ES" w:bidi="hi-IN"/>
        </w:rPr>
      </w:r>
    </w:p>
    <w:p>
      <w:pPr>
        <w:pStyle w:val="Normal"/>
        <w:jc w:val="left"/>
        <w:rPr>
          <w:lang w:val="es-ES" w:bidi="hi-IN"/>
        </w:rPr>
      </w:pPr>
      <w:r>
        <w:rPr>
          <w:rFonts w:ascii="Noto Sans" w:hAnsi="Noto Sans"/>
          <w:b/>
          <w:bCs/>
          <w:sz w:val="22"/>
          <w:szCs w:val="22"/>
          <w:lang w:val="es-ES" w:bidi="hi-IN"/>
        </w:rPr>
        <w:t>Acreditación de los requisitos exigidos en la convocatoria</w:t>
      </w:r>
    </w:p>
    <w:tbl>
      <w:tblPr>
        <w:tblW w:w="14573" w:type="dxa"/>
        <w:jc w:val="left"/>
        <w:tblInd w:w="-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4838"/>
        <w:gridCol w:w="9734"/>
      </w:tblGrid>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spacing w:lineRule="auto" w:line="240" w:before="285" w:after="285"/>
              <w:jc w:val="left"/>
              <w:rPr>
                <w:rFonts w:ascii="Noto Sans" w:hAnsi="Noto Sans"/>
                <w:sz w:val="22"/>
                <w:szCs w:val="22"/>
              </w:rPr>
            </w:pPr>
            <w:r>
              <w:rPr>
                <w:rFonts w:ascii="Noto Sans" w:hAnsi="Noto Sans"/>
                <w:b/>
                <w:bCs/>
                <w:color w:val="auto"/>
                <w:sz w:val="22"/>
                <w:szCs w:val="22"/>
                <w:lang w:val="es-ES" w:bidi="hi-IN"/>
              </w:rPr>
              <w:t xml:space="preserve">La actividad objeto de la subvención debe tener como una de sus finalidades, de forma comprobable, la proyección exterior de los artistas de las Illes Balears. El evento debía cumplir, como mínimo, </w:t>
            </w:r>
            <w:r>
              <w:rPr>
                <w:rFonts w:ascii="Noto Sans" w:hAnsi="Noto Sans"/>
                <w:b/>
                <w:bCs/>
                <w:i w:val="false"/>
                <w:iCs w:val="false"/>
                <w:color w:val="auto"/>
                <w:sz w:val="22"/>
                <w:szCs w:val="22"/>
                <w:u w:val="single"/>
                <w:lang w:val="es-ES" w:bidi="hi-IN"/>
              </w:rPr>
              <w:t xml:space="preserve">dos de estos requisitos </w:t>
            </w:r>
            <w:r>
              <w:rPr>
                <w:rFonts w:ascii="Noto Sans" w:hAnsi="Noto Sans"/>
                <w:b/>
                <w:bCs/>
                <w:i w:val="false"/>
                <w:iCs w:val="false"/>
                <w:color w:val="auto"/>
                <w:sz w:val="22"/>
                <w:szCs w:val="22"/>
                <w:u w:val="none"/>
                <w:lang w:val="es-ES" w:bidi="hi-IN"/>
              </w:rPr>
              <w:t>, especifique si finalmente se han cumplido y cómo.</w:t>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bCs/>
                <w:sz w:val="22"/>
                <w:szCs w:val="22"/>
                <w:lang w:val="es-ES" w:bidi="hi-IN"/>
              </w:rPr>
              <w:t>Participación y actividad profesional de programadores, distribuidores, productores, gestores y mediadores culturales, comisarios, críticos, etc. de fuera de las Islas Baleares invitados por la organización en un mínimo de 3.</w:t>
            </w:r>
          </w:p>
          <w:p>
            <w:pPr>
              <w:pStyle w:val="Normal"/>
              <w:rPr>
                <w:rFonts w:ascii="Noto Sans" w:hAnsi="Noto Sans"/>
                <w:b w:val="false"/>
                <w:b w:val="false"/>
                <w:bCs w:val="false"/>
                <w:i w:val="false"/>
                <w:i w:val="false"/>
                <w:iCs w:val="false"/>
                <w:sz w:val="22"/>
                <w:szCs w:val="22"/>
                <w:lang w:val="es-ES" w:bidi="hi-IN"/>
              </w:rPr>
            </w:pPr>
            <w:r>
              <w:rPr>
                <w:rFonts w:ascii="Noto Sans" w:hAnsi="Noto Sans"/>
                <w:b w:val="false"/>
                <w:bCs w:val="false"/>
                <w:i w:val="false"/>
                <w:iCs w:val="false"/>
                <w:sz w:val="22"/>
                <w:szCs w:val="22"/>
                <w:lang w:val="es-ES" w:bidi="hi-IN"/>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left"/>
              <w:rPr>
                <w:rFonts w:ascii="Noto Sans" w:hAnsi="Noto Sans"/>
                <w:sz w:val="22"/>
                <w:szCs w:val="22"/>
                <w:lang w:val="es-ES" w:bidi="hi-IN"/>
              </w:rPr>
            </w:pPr>
            <w:r>
              <w:rPr>
                <w:rFonts w:ascii="Noto Sans" w:hAnsi="Noto Sans"/>
                <w:sz w:val="22"/>
                <w:szCs w:val="22"/>
                <w:lang w:val="es-ES" w:bidi="hi-IN"/>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lang w:val="es-ES" w:bidi="hi-IN"/>
              </w:rPr>
              <w:t>Participación en algún programa de intercambio con otros eventos similares que garanticen la presencia de la producción cultural de las Islas Baleares en el exterior.</w:t>
            </w:r>
          </w:p>
          <w:p>
            <w:pPr>
              <w:pStyle w:val="Normal"/>
              <w:jc w:val="left"/>
              <w:rPr>
                <w:rFonts w:ascii="Noto Sans" w:hAnsi="Noto Sans"/>
                <w:b w:val="false"/>
                <w:b w:val="false"/>
                <w:bCs w:val="false"/>
                <w:i w:val="false"/>
                <w:i w:val="false"/>
                <w:iCs w:val="false"/>
                <w:color w:val="auto"/>
                <w:sz w:val="22"/>
                <w:szCs w:val="22"/>
                <w:lang w:val="es-ES" w:bidi="hi-IN"/>
              </w:rPr>
            </w:pPr>
            <w:r>
              <w:rPr>
                <w:rFonts w:ascii="Noto Sans" w:hAnsi="Noto Sans"/>
                <w:b w:val="false"/>
                <w:bCs w:val="false"/>
                <w:i w:val="false"/>
                <w:iCs w:val="false"/>
                <w:color w:val="auto"/>
                <w:sz w:val="22"/>
                <w:szCs w:val="22"/>
                <w:lang w:val="es-ES" w:bidi="hi-IN"/>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lang w:val="es-ES" w:bidi="hi-IN"/>
              </w:rPr>
            </w:pPr>
            <w:r>
              <w:rPr>
                <w:rFonts w:ascii="Noto Sans" w:hAnsi="Noto Sans"/>
                <w:sz w:val="22"/>
                <w:szCs w:val="22"/>
                <w:lang w:val="es-ES" w:bidi="hi-IN"/>
              </w:rPr>
            </w:r>
          </w:p>
        </w:tc>
      </w:tr>
      <w:tr>
        <w:trPr/>
        <w:tc>
          <w:tcPr>
            <w:tcW w:w="4838"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lang w:val="es-ES" w:bidi="hi-IN"/>
              </w:rPr>
              <w:t xml:space="preserve">Organización, dentro del programa del evento, de jornadas orientadas al público profesional </w:t>
            </w:r>
            <w:r>
              <w:rPr>
                <w:rFonts w:ascii="Noto Sans" w:hAnsi="Noto Sans"/>
                <w:b/>
                <w:bCs/>
                <w:color w:val="auto"/>
                <w:sz w:val="22"/>
                <w:szCs w:val="22"/>
                <w:highlight w:val="white"/>
                <w:lang w:val="es-ES" w:bidi="hi-IN"/>
              </w:rPr>
              <w:t>.</w:t>
            </w:r>
          </w:p>
          <w:p>
            <w:pPr>
              <w:pStyle w:val="Normal"/>
              <w:jc w:val="left"/>
              <w:rPr>
                <w:b/>
                <w:b/>
                <w:bCs/>
                <w:color w:val="auto"/>
                <w:highlight w:val="white"/>
                <w:lang w:val="es-ES" w:bidi="hi-IN"/>
              </w:rPr>
            </w:pPr>
            <w:r>
              <w:rPr>
                <w:b/>
                <w:bCs/>
                <w:color w:val="auto"/>
                <w:highlight w:val="white"/>
                <w:lang w:val="es-ES" w:bidi="hi-IN"/>
              </w:rPr>
            </w:r>
          </w:p>
        </w:tc>
        <w:tc>
          <w:tcPr>
            <w:tcW w:w="973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lang w:val="es-ES" w:bidi="hi-IN"/>
              </w:rPr>
            </w:pPr>
            <w:r>
              <w:rPr>
                <w:rFonts w:ascii="Noto Sans" w:hAnsi="Noto Sans"/>
                <w:sz w:val="22"/>
                <w:szCs w:val="22"/>
                <w:lang w:val="es-ES" w:bidi="hi-IN"/>
              </w:rPr>
            </w:r>
          </w:p>
        </w:tc>
      </w:tr>
      <w:tr>
        <w:trPr>
          <w:trHeight w:val="620" w:hRule="atLeast"/>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sz w:val="22"/>
                <w:szCs w:val="22"/>
              </w:rPr>
            </w:pPr>
            <w:r>
              <w:rPr>
                <w:rFonts w:ascii="Noto Sans" w:hAnsi="Noto Sans"/>
                <w:b/>
                <w:bCs/>
                <w:sz w:val="22"/>
                <w:szCs w:val="22"/>
                <w:lang w:val="es-ES" w:bidi="hi-IN"/>
              </w:rPr>
              <w:t>30% de artistas y agentes culturales de las Islas Baleares. Adjunta la programación completa del evento especificando qué artistas son de las Islas Baleares y cuáles son de fuera.</w:t>
            </w:r>
          </w:p>
        </w:tc>
      </w:tr>
      <w:tr>
        <w:trPr/>
        <w:tc>
          <w:tcPr>
            <w:tcW w:w="14572"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lang w:val="es-ES" w:bidi="hi-IN"/>
              </w:rPr>
            </w:pPr>
            <w:r>
              <w:rPr>
                <w:rFonts w:ascii="Noto Sans" w:hAnsi="Noto Sans"/>
                <w:sz w:val="22"/>
                <w:szCs w:val="22"/>
                <w:lang w:val="es-ES" w:bidi="hi-IN"/>
              </w:rPr>
            </w:r>
          </w:p>
          <w:p>
            <w:pPr>
              <w:pStyle w:val="Normal"/>
              <w:rPr>
                <w:rFonts w:ascii="Noto Sans" w:hAnsi="Noto Sans"/>
                <w:sz w:val="22"/>
                <w:szCs w:val="22"/>
                <w:lang w:val="es-ES" w:bidi="hi-IN"/>
              </w:rPr>
            </w:pPr>
            <w:r>
              <w:rPr>
                <w:rFonts w:ascii="Noto Sans" w:hAnsi="Noto Sans"/>
                <w:sz w:val="22"/>
                <w:szCs w:val="22"/>
                <w:lang w:val="es-ES" w:bidi="hi-IN"/>
              </w:rPr>
            </w:r>
          </w:p>
        </w:tc>
      </w:tr>
    </w:tbl>
    <w:p>
      <w:pPr>
        <w:pStyle w:val="Cuerpodetexto"/>
        <w:jc w:val="left"/>
        <w:rPr>
          <w:rFonts w:ascii="Noto Sans" w:hAnsi="Noto Sans"/>
          <w:b/>
          <w:b/>
          <w:bCs/>
          <w:sz w:val="22"/>
          <w:szCs w:val="22"/>
          <w:lang w:val="es-ES" w:bidi="hi-IN"/>
        </w:rPr>
      </w:pPr>
      <w:r>
        <w:rPr>
          <w:rFonts w:ascii="Noto Sans" w:hAnsi="Noto Sans"/>
          <w:b/>
          <w:bCs/>
          <w:sz w:val="22"/>
          <w:szCs w:val="22"/>
          <w:lang w:val="es-ES" w:bidi="hi-IN"/>
        </w:rPr>
      </w:r>
    </w:p>
    <w:p>
      <w:pPr>
        <w:pStyle w:val="Cuerpodetexto"/>
        <w:jc w:val="left"/>
        <w:rPr>
          <w:rFonts w:ascii="Noto Sans" w:hAnsi="Noto Sans"/>
          <w:sz w:val="22"/>
          <w:szCs w:val="22"/>
        </w:rPr>
      </w:pPr>
      <w:r>
        <w:rPr>
          <w:rFonts w:ascii="Noto Sans" w:hAnsi="Noto Sans"/>
          <w:b/>
          <w:bCs/>
          <w:sz w:val="22"/>
          <w:szCs w:val="22"/>
          <w:lang w:val="es-ES" w:bidi="hi-IN"/>
        </w:rPr>
        <w:t>Memoria de actuación justificativa</w:t>
      </w:r>
    </w:p>
    <w:p>
      <w:pPr>
        <w:pStyle w:val="Cuerpodetexto"/>
        <w:spacing w:lineRule="auto" w:line="240" w:before="0" w:after="0"/>
        <w:jc w:val="left"/>
        <w:rPr>
          <w:rFonts w:ascii="Noto Sans" w:hAnsi="Noto Sans"/>
          <w:sz w:val="22"/>
          <w:szCs w:val="22"/>
        </w:rPr>
      </w:pPr>
      <w:r>
        <w:rPr>
          <w:rFonts w:ascii="Noto Sans" w:hAnsi="Noto Sans"/>
          <w:b w:val="false"/>
          <w:bCs w:val="false"/>
          <w:sz w:val="22"/>
          <w:szCs w:val="22"/>
          <w:lang w:val="es-ES" w:bidi="hi-IN"/>
        </w:rPr>
        <w:t>Esta memoria sirve para que pueda explicar el grado de cumplimiento de las condiciones impuestas a la concesión de la subvención. Debe contener toda la información necesaria para la correcta interpretación y comprensión de la justificación de gastos presentada y su imputación al proyecto.</w:t>
      </w:r>
    </w:p>
    <w:p>
      <w:pPr>
        <w:pStyle w:val="Cuerpodetexto"/>
        <w:spacing w:lineRule="auto" w:line="240" w:before="0" w:after="0"/>
        <w:jc w:val="left"/>
        <w:rPr>
          <w:rFonts w:ascii="Noto Sans" w:hAnsi="Noto Sans"/>
          <w:b/>
          <w:b/>
          <w:bCs/>
          <w:sz w:val="22"/>
          <w:szCs w:val="22"/>
          <w:lang w:val="es-ES" w:bidi="hi-IN"/>
        </w:rPr>
      </w:pPr>
      <w:r>
        <w:rPr>
          <w:rFonts w:ascii="Noto Sans" w:hAnsi="Noto Sans"/>
          <w:b/>
          <w:bCs/>
          <w:sz w:val="22"/>
          <w:szCs w:val="22"/>
          <w:lang w:val="es-ES" w:bidi="hi-IN"/>
        </w:rPr>
      </w:r>
    </w:p>
    <w:tbl>
      <w:tblPr>
        <w:tblW w:w="14535" w:type="dxa"/>
        <w:jc w:val="left"/>
        <w:tblInd w:w="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Pr>
      <w:tblGrid>
        <w:gridCol w:w="3799"/>
        <w:gridCol w:w="10735"/>
      </w:tblGrid>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sz w:val="22"/>
                <w:szCs w:val="22"/>
              </w:rPr>
            </w:pPr>
            <w:r>
              <w:rPr>
                <w:rFonts w:ascii="Noto Sans" w:hAnsi="Noto Sans"/>
                <w:b/>
                <w:bCs/>
                <w:sz w:val="22"/>
                <w:szCs w:val="22"/>
                <w:lang w:val="es-ES" w:bidi="hi-IN"/>
              </w:rPr>
              <w:t>1) Cumplimiento de los objetivos generales del proyecto</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jc w:val="center"/>
              <w:rPr>
                <w:rFonts w:ascii="Noto Sans" w:hAnsi="Noto Sans"/>
                <w:b/>
                <w:b/>
                <w:bCs/>
                <w:sz w:val="22"/>
                <w:szCs w:val="22"/>
                <w:lang w:val="es-ES" w:bidi="hi-IN"/>
              </w:rPr>
            </w:pPr>
            <w:r>
              <w:rPr>
                <w:rFonts w:ascii="Noto Sans" w:hAnsi="Noto Sans"/>
                <w:b/>
                <w:bCs/>
                <w:sz w:val="22"/>
                <w:szCs w:val="22"/>
                <w:lang w:val="es-ES" w:bidi="hi-IN"/>
              </w:rPr>
            </w:r>
          </w:p>
          <w:p>
            <w:pPr>
              <w:pStyle w:val="Contingutdelataula"/>
              <w:jc w:val="center"/>
              <w:rPr>
                <w:rFonts w:ascii="Noto Sans" w:hAnsi="Noto Sans"/>
                <w:b/>
                <w:b/>
                <w:bCs/>
                <w:sz w:val="22"/>
                <w:szCs w:val="22"/>
                <w:lang w:val="es-ES" w:bidi="hi-IN"/>
              </w:rPr>
            </w:pPr>
            <w:r>
              <w:rPr>
                <w:rFonts w:ascii="Noto Sans" w:hAnsi="Noto Sans"/>
                <w:b/>
                <w:bCs/>
                <w:sz w:val="22"/>
                <w:szCs w:val="22"/>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eastAsia="NSimSun" w:cs="Arial" w:ascii="Noto Sans" w:hAnsi="Noto Sans"/>
                <w:b/>
                <w:bCs/>
                <w:color w:val="auto"/>
                <w:kern w:val="2"/>
                <w:sz w:val="22"/>
                <w:szCs w:val="22"/>
                <w:lang w:val="es-ES" w:eastAsia="zh-CN" w:bidi="hi-IN"/>
              </w:rPr>
              <w:t>2) Cumplimiento de la programación general tal y como estaba prevista inicialmente en la solicitud. Indique la programación completa del evento realizado e indique si ha habido algún cambio de la memoria inicial.</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b/>
                <w:b/>
                <w:bCs/>
                <w:color w:val="auto"/>
                <w:sz w:val="22"/>
                <w:szCs w:val="22"/>
                <w:lang w:val="es-ES" w:bidi="hi-IN"/>
              </w:rPr>
            </w:pPr>
            <w:r>
              <w:rPr>
                <w:rFonts w:ascii="Noto Sans" w:hAnsi="Noto Sans"/>
                <w:b/>
                <w:bCs/>
                <w:color w:val="auto"/>
                <w:sz w:val="22"/>
                <w:szCs w:val="22"/>
                <w:lang w:val="es-ES" w:bidi="hi-IN"/>
              </w:rPr>
            </w:r>
          </w:p>
          <w:p>
            <w:pPr>
              <w:pStyle w:val="Normal"/>
              <w:widowControl/>
              <w:suppressAutoHyphens w:val="true"/>
              <w:bidi w:val="0"/>
              <w:spacing w:lineRule="auto" w:line="276" w:before="57" w:after="57"/>
              <w:ind w:left="0" w:right="0" w:hanging="0"/>
              <w:jc w:val="left"/>
              <w:rPr>
                <w:rFonts w:ascii="Noto Sans" w:hAnsi="Noto Sans"/>
                <w:b/>
                <w:b/>
                <w:bCs/>
                <w:color w:val="auto"/>
                <w:sz w:val="22"/>
                <w:szCs w:val="22"/>
                <w:lang w:val="es-ES" w:bidi="hi-IN"/>
              </w:rPr>
            </w:pPr>
            <w:r>
              <w:rPr>
                <w:rFonts w:ascii="Noto Sans" w:hAnsi="Noto Sans"/>
                <w:b/>
                <w:bCs/>
                <w:color w:val="auto"/>
                <w:sz w:val="22"/>
                <w:szCs w:val="22"/>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lang w:val="es-ES" w:bidi="hi-IN"/>
              </w:rPr>
              <w:t xml:space="preserve">3) Programa profesional. Adjunta el programa definitivo de las jornadas profesionales, la lista definitiva de los profesionales acreditados asistentes e </w:t>
            </w:r>
            <w:r>
              <w:rPr>
                <w:rFonts w:eastAsia="NSimSun" w:cs="Arial" w:ascii="Noto Sans" w:hAnsi="Noto Sans"/>
                <w:b/>
                <w:bCs/>
                <w:color w:val="auto"/>
                <w:kern w:val="2"/>
                <w:sz w:val="22"/>
                <w:szCs w:val="22"/>
                <w:lang w:val="es-ES" w:eastAsia="zh-CN" w:bidi="hi-IN"/>
              </w:rPr>
              <w:t>imágenes donde se pueda comprobar la ejecución de las jornadas</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eastAsia="NSimSun" w:cs="Arial"/>
                <w:b/>
                <w:b/>
                <w:bCs/>
                <w:color w:val="auto"/>
                <w:kern w:val="2"/>
                <w:lang w:val="es-ES" w:eastAsia="zh-CN" w:bidi="hi-IN"/>
              </w:rPr>
            </w:pPr>
            <w:r>
              <w:rPr>
                <w:rFonts w:eastAsia="NSimSun" w:cs="Arial"/>
                <w:b/>
                <w:bCs/>
                <w:color w:val="auto"/>
                <w:kern w:val="2"/>
                <w:lang w:val="es-ES" w:eastAsia="zh-CN" w:bidi="hi-IN"/>
              </w:rPr>
            </w:r>
          </w:p>
          <w:p>
            <w:pPr>
              <w:pStyle w:val="Contingutdelataula"/>
              <w:rPr>
                <w:rFonts w:ascii="Noto Sans" w:hAnsi="Noto Sans"/>
                <w:sz w:val="22"/>
                <w:szCs w:val="22"/>
                <w:lang w:val="es-ES" w:bidi="hi-IN"/>
              </w:rPr>
            </w:pPr>
            <w:r>
              <w:rPr>
                <w:rFonts w:ascii="Noto Sans" w:hAnsi="Noto Sans"/>
                <w:sz w:val="22"/>
                <w:szCs w:val="22"/>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lang w:val="es-ES" w:bidi="hi-IN"/>
              </w:rPr>
              <w:t xml:space="preserve">4) Potencial de proyección exterior. Indique una </w:t>
            </w:r>
            <w:r>
              <w:rPr>
                <w:rFonts w:eastAsia="Noto Sans" w:cs="Noto Sans" w:ascii="Noto Sans" w:hAnsi="Noto Sans"/>
                <w:b/>
                <w:bCs/>
                <w:color w:val="auto"/>
                <w:sz w:val="22"/>
                <w:szCs w:val="22"/>
                <w:lang w:val="es-ES" w:bidi="hi-IN"/>
              </w:rPr>
              <w:t>repercusión nacional o internacional ha tenido el evento, como se ha logrado la proyección exterior de los artistas baleares, si se ha logrado llegar a más público que en ediciones anteriores. Si tiene, adjunte clipping de prensa.</w:t>
            </w:r>
          </w:p>
        </w:tc>
      </w:tr>
      <w:tr>
        <w:trPr>
          <w:trHeight w:val="963" w:hRule="atLeast"/>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2"/>
                <w:szCs w:val="22"/>
                <w:lang w:val="es-ES" w:bidi="hi-IN"/>
              </w:rPr>
            </w:pPr>
            <w:r>
              <w:rPr>
                <w:rFonts w:eastAsia="Noto Sans" w:cs="Noto Sans" w:ascii="Noto Sans" w:hAnsi="Noto Sans"/>
                <w:b/>
                <w:bCs/>
                <w:color w:val="auto"/>
                <w:sz w:val="22"/>
                <w:szCs w:val="22"/>
                <w:lang w:val="es-ES" w:bidi="hi-IN"/>
              </w:rPr>
            </w:r>
          </w:p>
          <w:p>
            <w:pPr>
              <w:pStyle w:val="Normal"/>
              <w:widowControl/>
              <w:suppressAutoHyphens w:val="true"/>
              <w:bidi w:val="0"/>
              <w:spacing w:lineRule="auto" w:line="276" w:before="57" w:after="57"/>
              <w:ind w:left="0" w:right="0" w:hanging="0"/>
              <w:jc w:val="left"/>
              <w:rPr>
                <w:rFonts w:ascii="Noto Sans" w:hAnsi="Noto Sans" w:eastAsia="Noto Sans" w:cs="Noto Sans"/>
                <w:b/>
                <w:b/>
                <w:bCs/>
                <w:color w:val="auto"/>
                <w:sz w:val="22"/>
                <w:szCs w:val="22"/>
                <w:lang w:val="es-ES" w:bidi="hi-IN"/>
              </w:rPr>
            </w:pPr>
            <w:r>
              <w:rPr>
                <w:rFonts w:eastAsia="Noto Sans" w:cs="Noto Sans" w:ascii="Noto Sans" w:hAnsi="Noto Sans"/>
                <w:b/>
                <w:bCs/>
                <w:color w:val="auto"/>
                <w:sz w:val="22"/>
                <w:szCs w:val="22"/>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uerpodetexto"/>
              <w:spacing w:before="0" w:after="140"/>
              <w:jc w:val="left"/>
              <w:rPr>
                <w:rFonts w:ascii="Noto Sans" w:hAnsi="Noto Sans"/>
                <w:sz w:val="22"/>
                <w:szCs w:val="22"/>
              </w:rPr>
            </w:pPr>
            <w:r>
              <w:rPr>
                <w:rFonts w:ascii="Noto Sans" w:hAnsi="Noto Sans"/>
                <w:b/>
                <w:bCs/>
                <w:sz w:val="22"/>
                <w:szCs w:val="22"/>
                <w:lang w:val="es-ES" w:bidi="hi-IN"/>
              </w:rPr>
              <w:t>SOSTENIBILIDAD ECONÓMICA</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sz w:val="22"/>
                <w:szCs w:val="22"/>
              </w:rPr>
            </w:pPr>
            <w:r>
              <w:rPr>
                <w:rFonts w:eastAsia="Noto Sans" w:cs="Noto Sans" w:ascii="Noto Sans" w:hAnsi="Noto Sans"/>
                <w:b/>
                <w:bCs/>
                <w:sz w:val="22"/>
                <w:szCs w:val="22"/>
                <w:lang w:val="es-ES" w:bidi="hi-IN"/>
              </w:rPr>
              <w:t xml:space="preserve">5) </w:t>
            </w:r>
            <w:r>
              <w:rPr>
                <w:rFonts w:ascii="Noto Sans" w:hAnsi="Noto Sans"/>
                <w:b/>
                <w:bCs/>
                <w:sz w:val="22"/>
                <w:szCs w:val="22"/>
                <w:lang w:val="es-ES" w:bidi="hi-IN"/>
              </w:rPr>
              <w:t>Cumplimiento del presupuesto inicial: explicación de posibles desviaciones en cuanto a los importes previstos en el presupuesto y cambios en el reparto de las tareas que hayan repercutido en el presupuesto.</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lang w:val="es-ES" w:bidi="hi-IN"/>
              </w:rPr>
            </w:pPr>
            <w:r>
              <w:rPr>
                <w:rFonts w:ascii="Noto Sans" w:hAnsi="Noto Sans"/>
                <w:b/>
                <w:bCs/>
                <w:sz w:val="22"/>
                <w:szCs w:val="22"/>
                <w:lang w:val="es-ES" w:bidi="hi-IN"/>
              </w:rPr>
            </w:r>
          </w:p>
          <w:p>
            <w:pPr>
              <w:pStyle w:val="Normal"/>
              <w:rPr>
                <w:rFonts w:ascii="Noto Sans" w:hAnsi="Noto Sans"/>
                <w:b/>
                <w:b/>
                <w:bCs/>
                <w:sz w:val="22"/>
                <w:szCs w:val="22"/>
                <w:lang w:val="es-ES" w:bidi="hi-IN"/>
              </w:rPr>
            </w:pPr>
            <w:r>
              <w:rPr>
                <w:rFonts w:ascii="Noto Sans" w:hAnsi="Noto Sans"/>
                <w:b/>
                <w:bCs/>
                <w:sz w:val="22"/>
                <w:szCs w:val="22"/>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rPr>
                <w:rFonts w:ascii="Noto Sans" w:hAnsi="Noto Sans"/>
                <w:sz w:val="22"/>
                <w:szCs w:val="22"/>
              </w:rPr>
            </w:pPr>
            <w:r>
              <w:rPr>
                <w:rFonts w:ascii="Noto Sans" w:hAnsi="Noto Sans"/>
                <w:b/>
                <w:bCs/>
                <w:sz w:val="22"/>
                <w:szCs w:val="22"/>
                <w:lang w:val="es-ES" w:bidi="hi-IN"/>
              </w:rPr>
              <w:t>6) Aclaración sobre la recepción de otras subvenciones u otros ingresos.</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lang w:val="es-ES" w:bidi="hi-IN"/>
              </w:rPr>
            </w:pPr>
            <w:r>
              <w:rPr>
                <w:rFonts w:ascii="Noto Sans" w:hAnsi="Noto Sans"/>
                <w:sz w:val="22"/>
                <w:szCs w:val="22"/>
                <w:lang w:val="es-ES" w:bidi="hi-IN"/>
              </w:rPr>
            </w:r>
          </w:p>
          <w:p>
            <w:pPr>
              <w:pStyle w:val="Normal"/>
              <w:rPr>
                <w:rFonts w:ascii="Noto Sans" w:hAnsi="Noto Sans"/>
                <w:sz w:val="22"/>
                <w:szCs w:val="22"/>
                <w:lang w:val="es-ES" w:bidi="hi-IN"/>
              </w:rPr>
            </w:pPr>
            <w:r>
              <w:rPr>
                <w:rFonts w:ascii="Noto Sans" w:hAnsi="Noto Sans"/>
                <w:sz w:val="22"/>
                <w:szCs w:val="22"/>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rPr>
                <w:rFonts w:ascii="Noto Sans" w:hAnsi="Noto Sans"/>
                <w:sz w:val="22"/>
                <w:szCs w:val="22"/>
              </w:rPr>
            </w:pPr>
            <w:r>
              <w:rPr>
                <w:rFonts w:eastAsia="Times New Roman" w:ascii="Noto Sans" w:hAnsi="Noto Sans"/>
                <w:b/>
                <w:bCs/>
                <w:sz w:val="22"/>
                <w:szCs w:val="22"/>
                <w:lang w:val="es-ES" w:eastAsia="es-ES" w:bidi="hi-IN"/>
              </w:rPr>
              <w:t>7) Publicidad de la ayuda. Adjunta el cartel del evento y las publicaciones donde se haga constar el apoyo del IEB a las redes sociales y la página web propia del evento, así como indica el punto 22.g) de la convocatoria.</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b/>
                <w:b/>
                <w:bCs/>
                <w:sz w:val="22"/>
                <w:szCs w:val="22"/>
                <w:lang w:val="es-ES" w:bidi="hi-IN"/>
              </w:rPr>
            </w:pPr>
            <w:r>
              <w:rPr>
                <w:rFonts w:ascii="Noto Sans" w:hAnsi="Noto Sans"/>
                <w:b/>
                <w:bCs/>
                <w:sz w:val="22"/>
                <w:szCs w:val="22"/>
                <w:lang w:val="es-ES" w:bidi="hi-IN"/>
              </w:rPr>
            </w:r>
          </w:p>
          <w:p>
            <w:pPr>
              <w:pStyle w:val="Normal"/>
              <w:rPr>
                <w:rFonts w:ascii="Noto Sans" w:hAnsi="Noto Sans"/>
                <w:b/>
                <w:b/>
                <w:bCs/>
                <w:sz w:val="22"/>
                <w:szCs w:val="22"/>
                <w:lang w:val="es-ES" w:bidi="hi-IN"/>
              </w:rPr>
            </w:pPr>
            <w:r>
              <w:rPr>
                <w:rFonts w:ascii="Noto Sans" w:hAnsi="Noto Sans"/>
                <w:b/>
                <w:bCs/>
                <w:sz w:val="22"/>
                <w:szCs w:val="22"/>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lang w:val="es-ES" w:bidi="hi-IN"/>
              </w:rPr>
              <w:t>8) Sostenibilidad ambiental. Indique si se han llevado a cabo las acciones para favorecer la reducción de la huella ecológica del evento mencionadas en la memoria inicial. Adjunte imágenes o documentos para acreditarlo.</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b/>
                <w:b/>
                <w:bCs/>
                <w:lang w:val="es-ES" w:bidi="hi-IN"/>
              </w:rPr>
            </w:pPr>
            <w:r>
              <w:rPr>
                <w:b/>
                <w:bCs/>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lang w:val="es-ES" w:bidi="hi-IN"/>
              </w:rPr>
              <w:t>9) Sostenibilidad social.</w:t>
            </w:r>
          </w:p>
        </w:tc>
      </w:tr>
      <w:tr>
        <w:trPr/>
        <w:tc>
          <w:tcPr>
            <w:tcW w:w="379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rFonts w:ascii="Noto Sans" w:hAnsi="Noto Sans"/>
                <w:sz w:val="22"/>
                <w:szCs w:val="22"/>
              </w:rPr>
            </w:pPr>
            <w:r>
              <w:rPr>
                <w:rFonts w:ascii="Noto Sans" w:hAnsi="Noto Sans"/>
                <w:b/>
                <w:bCs/>
                <w:sz w:val="22"/>
                <w:szCs w:val="22"/>
                <w:lang w:val="es-ES" w:bidi="hi-IN"/>
              </w:rPr>
              <w:t>Indique si finalmente se han incluido aspectos y/o temáticas relacionadas con la perspectiva de género o la comunidad LGTBQI+.</w:t>
            </w:r>
          </w:p>
        </w:tc>
        <w:tc>
          <w:tcPr>
            <w:tcW w:w="1073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lang w:val="es-ES" w:bidi="hi-IN"/>
              </w:rPr>
            </w:pPr>
            <w:r>
              <w:rPr>
                <w:rFonts w:ascii="Noto Sans" w:hAnsi="Noto Sans"/>
                <w:sz w:val="22"/>
                <w:szCs w:val="22"/>
                <w:lang w:val="es-ES" w:bidi="hi-IN"/>
              </w:rPr>
            </w:r>
          </w:p>
        </w:tc>
      </w:tr>
      <w:tr>
        <w:trPr/>
        <w:tc>
          <w:tcPr>
            <w:tcW w:w="379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lang w:val="es-ES" w:bidi="hi-IN"/>
              </w:rPr>
              <w:t>Indique qué acciones se han llevado a cabo para favorecer el fomento de la accesibilidad.</w:t>
            </w:r>
          </w:p>
        </w:tc>
        <w:tc>
          <w:tcPr>
            <w:tcW w:w="1073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lang w:val="es-ES" w:bidi="hi-IN"/>
              </w:rPr>
            </w:pPr>
            <w:r>
              <w:rPr>
                <w:rFonts w:ascii="Noto Sans" w:hAnsi="Noto Sans"/>
                <w:sz w:val="22"/>
                <w:szCs w:val="22"/>
                <w:lang w:val="es-ES" w:bidi="hi-IN"/>
              </w:rPr>
            </w:r>
          </w:p>
        </w:tc>
      </w:tr>
      <w:tr>
        <w:trPr/>
        <w:tc>
          <w:tcPr>
            <w:tcW w:w="3799"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jc w:val="left"/>
              <w:rPr>
                <w:rFonts w:ascii="Noto Sans" w:hAnsi="Noto Sans"/>
                <w:sz w:val="22"/>
                <w:szCs w:val="22"/>
              </w:rPr>
            </w:pPr>
            <w:r>
              <w:rPr>
                <w:rFonts w:ascii="Noto Sans" w:hAnsi="Noto Sans"/>
                <w:b/>
                <w:bCs/>
                <w:sz w:val="22"/>
                <w:szCs w:val="22"/>
                <w:lang w:val="es-ES" w:bidi="hi-IN"/>
              </w:rPr>
              <w:t>Indique qué acciones se han llevado a cabo para fomentar la diversidad/interculturalidad dentro del evento: inclusión de personas racializadas, personas en riesgo de exclusión social...</w:t>
            </w:r>
          </w:p>
        </w:tc>
        <w:tc>
          <w:tcPr>
            <w:tcW w:w="10735"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Contingutdelataula"/>
              <w:rPr>
                <w:rFonts w:ascii="Noto Sans" w:hAnsi="Noto Sans"/>
                <w:sz w:val="22"/>
                <w:szCs w:val="22"/>
                <w:lang w:val="es-ES" w:bidi="hi-IN"/>
              </w:rPr>
            </w:pPr>
            <w:r>
              <w:rPr>
                <w:rFonts w:ascii="Noto Sans" w:hAnsi="Noto Sans"/>
                <w:sz w:val="22"/>
                <w:szCs w:val="22"/>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lang w:val="es-ES" w:bidi="hi-IN"/>
              </w:rPr>
              <w:t>10. Sostenibilidad lingüística. Adjunta ejemplos del uso de la lengua catalana durante el evento y en los canales de difusión y comunicación del evento: notas de prensa, anuncios, redes sociales.</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b/>
                <w:b/>
                <w:bCs/>
                <w:lang w:val="es-ES" w:bidi="hi-IN"/>
              </w:rPr>
            </w:pPr>
            <w:r>
              <w:rPr>
                <w:b/>
                <w:bCs/>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lang w:val="es-ES" w:bidi="hi-IN"/>
              </w:rPr>
              <w:t>11. Creación / Feria B! Indique si finalmente el evento ha incluido alguna obra beneficiaria de las convocatorias de ayudas del Instituto de Estudios Baleáricos para apoyar la creación o alguno de los artistas participantes en Fira B! 2025.</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b/>
                <w:b/>
                <w:bCs/>
                <w:lang w:val="es-ES" w:bidi="hi-IN"/>
              </w:rPr>
            </w:pPr>
            <w:r>
              <w:rPr>
                <w:b/>
                <w:bCs/>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Contingutdelataula"/>
              <w:jc w:val="left"/>
              <w:rPr>
                <w:rFonts w:ascii="Noto Sans" w:hAnsi="Noto Sans"/>
                <w:sz w:val="22"/>
                <w:szCs w:val="22"/>
              </w:rPr>
            </w:pPr>
            <w:r>
              <w:rPr>
                <w:rFonts w:ascii="Noto Sans" w:hAnsi="Noto Sans"/>
                <w:b/>
                <w:bCs/>
                <w:sz w:val="22"/>
                <w:szCs w:val="22"/>
                <w:lang w:val="es-ES" w:bidi="hi-IN"/>
              </w:rPr>
              <w:t>12. Formentera. Indique si finalmente el evento ha incluido acciones realizadas por creadores, entidades o colectivos naturales o residentes en Formentera.</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b/>
                <w:b/>
                <w:bCs/>
                <w:lang w:val="es-ES" w:bidi="hi-IN"/>
              </w:rPr>
            </w:pPr>
            <w:r>
              <w:rPr>
                <w:b/>
                <w:bCs/>
                <w:lang w:val="es-ES" w:bidi="hi-IN"/>
              </w:rPr>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B4C7DC" w:val="clear"/>
          </w:tcPr>
          <w:p>
            <w:pPr>
              <w:pStyle w:val="Normal"/>
              <w:jc w:val="left"/>
              <w:rPr>
                <w:rFonts w:ascii="Noto Sans" w:hAnsi="Noto Sans"/>
                <w:sz w:val="22"/>
                <w:szCs w:val="22"/>
              </w:rPr>
            </w:pPr>
            <w:r>
              <w:rPr>
                <w:rFonts w:ascii="Noto Sans" w:hAnsi="Noto Sans"/>
                <w:b/>
                <w:bCs/>
                <w:sz w:val="22"/>
                <w:szCs w:val="22"/>
                <w:lang w:val="es-ES" w:bidi="hi-IN"/>
              </w:rPr>
              <w:t>13. Efemérides y conmemoraciones. Indique si finalmente el evento ha incluido alguna actividad relacionada con el Año Alcover.</w:t>
            </w:r>
          </w:p>
        </w:tc>
      </w:tr>
      <w:tr>
        <w:trPr/>
        <w:tc>
          <w:tcPr>
            <w:tcW w:w="14534" w:type="dxa"/>
            <w:gridSpan w:val="2"/>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rPr>
                <w:b/>
                <w:b/>
                <w:bCs/>
                <w:lang w:val="es-ES" w:bidi="hi-IN"/>
              </w:rPr>
            </w:pPr>
            <w:r>
              <w:rPr>
                <w:b/>
                <w:bCs/>
                <w:lang w:val="es-ES" w:bidi="hi-IN"/>
              </w:rPr>
            </w:r>
          </w:p>
        </w:tc>
      </w:tr>
    </w:tbl>
    <w:p>
      <w:pPr>
        <w:pStyle w:val="Normal"/>
        <w:rPr>
          <w:lang w:val="es-ES" w:bidi="hi-IN"/>
        </w:rPr>
      </w:pPr>
      <w:r>
        <w:rPr>
          <w:lang w:val="es-ES" w:bidi="hi-IN"/>
        </w:rPr>
      </w:r>
    </w:p>
    <w:sectPr>
      <w:headerReference w:type="default" r:id="rId2"/>
      <w:headerReference w:type="first" r:id="rId3"/>
      <w:type w:val="nextPage"/>
      <w:pgSz w:orient="landscape" w:w="16838" w:h="11906"/>
      <w:pgMar w:left="1134" w:right="1134" w:header="1134" w:top="1693" w:footer="0" w:bottom="1134" w:gutter="0"/>
      <w:pgNumType w:fmt="decimal"/>
      <w:formProt w:val="false"/>
      <w:titlePg/>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Noto Sans">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LegacySanITCBoo">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drawing>
        <wp:anchor behindDoc="1" distT="0" distB="0" distL="114300" distR="114300" simplePos="0" locked="0" layoutInCell="1" allowOverlap="1" relativeHeight="6">
          <wp:simplePos x="0" y="0"/>
          <wp:positionH relativeFrom="column">
            <wp:posOffset>-300990</wp:posOffset>
          </wp:positionH>
          <wp:positionV relativeFrom="paragraph">
            <wp:posOffset>-523240</wp:posOffset>
          </wp:positionV>
          <wp:extent cx="560705" cy="792480"/>
          <wp:effectExtent l="0" t="0" r="0" b="0"/>
          <wp:wrapNone/>
          <wp:docPr id="1" name="Imat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 2" descr=""/>
                  <pic:cNvPicPr>
                    <a:picLocks noChangeAspect="1" noChangeArrowheads="1"/>
                  </pic:cNvPicPr>
                </pic:nvPicPr>
                <pic:blipFill>
                  <a:blip r:embed="rId1"/>
                  <a:stretch>
                    <a:fillRect/>
                  </a:stretch>
                </pic:blipFill>
                <pic:spPr bwMode="auto">
                  <a:xfrm>
                    <a:off x="0" y="0"/>
                    <a:ext cx="560705" cy="79248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drawing>
        <wp:anchor behindDoc="1" distT="0" distB="0" distL="0" distR="0" simplePos="0" locked="0" layoutInCell="1" allowOverlap="1" relativeHeight="2">
          <wp:simplePos x="0" y="0"/>
          <wp:positionH relativeFrom="column">
            <wp:posOffset>-120015</wp:posOffset>
          </wp:positionH>
          <wp:positionV relativeFrom="paragraph">
            <wp:posOffset>635</wp:posOffset>
          </wp:positionV>
          <wp:extent cx="2419985" cy="694690"/>
          <wp:effectExtent l="0" t="0" r="0" b="0"/>
          <wp:wrapSquare wrapText="largest"/>
          <wp:docPr id="2" name="Imat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3" descr=""/>
                  <pic:cNvPicPr>
                    <a:picLocks noChangeAspect="1" noChangeArrowheads="1"/>
                  </pic:cNvPicPr>
                </pic:nvPicPr>
                <pic:blipFill>
                  <a:blip r:embed="rId1"/>
                  <a:stretch>
                    <a:fillRect/>
                  </a:stretch>
                </pic:blipFill>
                <pic:spPr bwMode="auto">
                  <a:xfrm>
                    <a:off x="0" y="0"/>
                    <a:ext cx="2419985" cy="694690"/>
                  </a:xfrm>
                  <a:prstGeom prst="rect">
                    <a:avLst/>
                  </a:prstGeom>
                </pic:spPr>
              </pic:pic>
            </a:graphicData>
          </a:graphic>
        </wp:anchor>
      </w:drawing>
    </w:r>
  </w:p>
</w:hdr>
</file>

<file path=word/settings.xml><?xml version="1.0" encoding="utf-8"?>
<w:settings xmlns:w="http://schemas.openxmlformats.org/wordprocessingml/2006/main">
  <w:zoom w:percent="120"/>
  <w:defaultTabStop w:val="936"/>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e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NSimSun" w:cs="Arial"/>
      <w:color w:val="auto"/>
      <w:kern w:val="2"/>
      <w:sz w:val="24"/>
      <w:szCs w:val="24"/>
      <w:lang w:val="es" w:eastAsia="zh-CN" w:bidi="hi-IN"/>
    </w:rPr>
  </w:style>
  <w:style w:type="paragraph" w:styleId="Ttulo3">
    <w:name w:val="Heading 3"/>
    <w:basedOn w:val="Ttulo"/>
    <w:next w:val="Cuerpodetexto"/>
    <w:qFormat/>
    <w:pPr>
      <w:widowControl w:val="false"/>
      <w:bidi w:val="0"/>
      <w:spacing w:before="140" w:after="120"/>
      <w:jc w:val="left"/>
      <w:outlineLvl w:val="2"/>
    </w:pPr>
    <w:rPr>
      <w:rFonts w:ascii="Liberation Serif" w:hAnsi="Liberation Serif" w:eastAsia="NSimSun" w:cs="Arial"/>
      <w:b/>
      <w:bCs/>
      <w:color w:val="auto"/>
      <w:kern w:val="2"/>
      <w:sz w:val="28"/>
      <w:szCs w:val="28"/>
      <w:lang w:val="es" w:eastAsia="zh-CN" w:bidi="hi-IN"/>
    </w:rPr>
  </w:style>
  <w:style w:type="character" w:styleId="Mfasifort">
    <w:name w:val="Èmfasi fort"/>
    <w:qFormat/>
    <w:rPr>
      <w:b/>
      <w:bCs/>
    </w:rPr>
  </w:style>
  <w:style w:type="character" w:styleId="Carctersdenotaalpeu">
    <w:name w:val="Caràcters de nota al peu"/>
    <w:qFormat/>
    <w:rPr/>
  </w:style>
  <w:style w:type="character" w:styleId="Ncoradenotaalpeu">
    <w:name w:val="Àncora de nota al peu"/>
    <w:qFormat/>
    <w:rPr>
      <w:vertAlign w:val="superscript"/>
    </w:rPr>
  </w:style>
  <w:style w:type="character" w:styleId="EnlladInternet">
    <w:name w:val="Enllaç d'Internet"/>
    <w:qFormat/>
    <w:rPr>
      <w:color w:val="000080"/>
      <w:u w:val="single"/>
      <w:lang w:val="es" w:eastAsia="zxx" w:bidi="zxx"/>
    </w:rPr>
  </w:style>
  <w:style w:type="character" w:styleId="ListLabel10">
    <w:name w:val="ListLabel 10"/>
    <w:qFormat/>
    <w:rPr>
      <w:rFonts w:ascii="Noto Sans" w:hAnsi="Noto Sans"/>
      <w:u w:val="none"/>
    </w:rPr>
  </w:style>
  <w:style w:type="character" w:styleId="ListLabel11">
    <w:name w:val="ListLabel 11"/>
    <w:qFormat/>
    <w:rPr>
      <w:u w:val="none"/>
    </w:rPr>
  </w:style>
  <w:style w:type="character" w:styleId="ListLabel12">
    <w:name w:val="ListLabel 12"/>
    <w:qFormat/>
    <w:rPr>
      <w:u w:val="none"/>
    </w:rPr>
  </w:style>
  <w:style w:type="character" w:styleId="ListLabel13">
    <w:name w:val="ListLabel 13"/>
    <w:qFormat/>
    <w:rPr>
      <w:u w:val="none"/>
    </w:rPr>
  </w:style>
  <w:style w:type="character" w:styleId="ListLabel14">
    <w:name w:val="ListLabel 14"/>
    <w:qFormat/>
    <w:rPr>
      <w:u w:val="none"/>
    </w:rPr>
  </w:style>
  <w:style w:type="character" w:styleId="ListLabel15">
    <w:name w:val="ListLabel 15"/>
    <w:qFormat/>
    <w:rPr>
      <w:u w:val="none"/>
    </w:rPr>
  </w:style>
  <w:style w:type="character" w:styleId="ListLabel16">
    <w:name w:val="ListLabel 16"/>
    <w:qFormat/>
    <w:rPr>
      <w:u w:val="none"/>
    </w:rPr>
  </w:style>
  <w:style w:type="character" w:styleId="ListLabel17">
    <w:name w:val="ListLabel 17"/>
    <w:qFormat/>
    <w:rPr>
      <w:u w:val="none"/>
    </w:rPr>
  </w:style>
  <w:style w:type="character" w:styleId="ListLabel18">
    <w:name w:val="ListLabel 18"/>
    <w:qFormat/>
    <w:rPr>
      <w:u w:val="none"/>
    </w:rPr>
  </w:style>
  <w:style w:type="character" w:styleId="Fuentedeprrafopredeter">
    <w:name w:val="Fuente de párrafo predeter."/>
    <w:qFormat/>
    <w:rPr/>
  </w:style>
  <w:style w:type="character" w:styleId="ListLabel266">
    <w:name w:val="ListLabel 266"/>
    <w:qFormat/>
    <w:rPr>
      <w:b w:val="false"/>
      <w:bCs w:val="false"/>
      <w:i w:val="false"/>
      <w:iCs/>
    </w:rPr>
  </w:style>
  <w:style w:type="character" w:styleId="ListLabel267">
    <w:name w:val="ListLabel 267"/>
    <w:qFormat/>
    <w:rPr>
      <w:rFonts w:ascii="Noto Sans" w:hAnsi="Noto Sans" w:cs="OpenSymbol"/>
      <w:sz w:val="22"/>
    </w:rPr>
  </w:style>
  <w:style w:type="character" w:styleId="ListLabel268">
    <w:name w:val="ListLabel 268"/>
    <w:qFormat/>
    <w:rPr>
      <w:rFonts w:cs="Symbol"/>
    </w:rPr>
  </w:style>
  <w:style w:type="character" w:styleId="ListLabel269">
    <w:name w:val="ListLabel 269"/>
    <w:qFormat/>
    <w:rPr>
      <w:rFonts w:cs="Symbol"/>
    </w:rPr>
  </w:style>
  <w:style w:type="character" w:styleId="ListLabel270">
    <w:name w:val="ListLabel 270"/>
    <w:qFormat/>
    <w:rPr>
      <w:rFonts w:cs="Symbol"/>
    </w:rPr>
  </w:style>
  <w:style w:type="character" w:styleId="ListLabel271">
    <w:name w:val="ListLabel 271"/>
    <w:qFormat/>
    <w:rPr>
      <w:rFonts w:cs="Symbol"/>
    </w:rPr>
  </w:style>
  <w:style w:type="character" w:styleId="ListLabel272">
    <w:name w:val="ListLabel 272"/>
    <w:qFormat/>
    <w:rPr>
      <w:rFonts w:cs="Symbol"/>
    </w:rPr>
  </w:style>
  <w:style w:type="character" w:styleId="Pics">
    <w:name w:val="Pics"/>
    <w:qFormat/>
    <w:rPr>
      <w:rFonts w:ascii="OpenSymbol" w:hAnsi="OpenSymbol" w:eastAsia="OpenSymbol"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ascii="Noto Sans" w:hAnsi="Noto Sans" w:cs="OpenSymbol"/>
      <w:b w:val="false"/>
      <w:sz w:val="22"/>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cs="OpenSymbol"/>
    </w:rPr>
  </w:style>
  <w:style w:type="character" w:styleId="ListLabel78">
    <w:name w:val="ListLabel 78"/>
    <w:qFormat/>
    <w:rPr>
      <w:rFonts w:ascii="Noto Sans" w:hAnsi="Noto Sans"/>
      <w:i/>
      <w:iCs/>
      <w:sz w:val="20"/>
      <w:szCs w:val="20"/>
      <w:u w:val="none"/>
      <w:lang w:val="es" w:bidi="ar-SA"/>
    </w:rPr>
  </w:style>
  <w:style w:type="character" w:styleId="ListLabel79">
    <w:name w:val="ListLabel 79"/>
    <w:qFormat/>
    <w:rPr>
      <w:rFonts w:ascii="Noto Sans" w:hAnsi="Noto Sans"/>
      <w:color w:val="000000"/>
      <w:sz w:val="20"/>
      <w:szCs w:val="20"/>
      <w:u w:val="none"/>
      <w:lang w:val="es" w:bidi="ar-SA"/>
    </w:rPr>
  </w:style>
  <w:style w:type="character" w:styleId="Ncoradenotafinal">
    <w:name w:val="Àncora de nota final"/>
    <w:qFormat/>
    <w:rPr>
      <w:vertAlign w:val="superscript"/>
    </w:rPr>
  </w:style>
  <w:style w:type="character" w:styleId="Carctersdenotafinal">
    <w:name w:val="Caràcters de nota final"/>
    <w:qFormat/>
    <w:rPr/>
  </w:style>
  <w:style w:type="character" w:styleId="ListLabel273">
    <w:name w:val="ListLabel 273"/>
    <w:qFormat/>
    <w:rPr>
      <w:b w:val="false"/>
      <w:bCs w:val="false"/>
      <w:i w:val="false"/>
      <w:iCs/>
    </w:rPr>
  </w:style>
  <w:style w:type="character" w:styleId="ListLabel274">
    <w:name w:val="ListLabel 274"/>
    <w:qFormat/>
    <w:rPr>
      <w:rFonts w:cs="OpenSymbol"/>
      <w:sz w:val="22"/>
    </w:rPr>
  </w:style>
  <w:style w:type="character" w:styleId="ListLabel275">
    <w:name w:val="ListLabel 275"/>
    <w:qFormat/>
    <w:rPr>
      <w:rFonts w:cs="Symbol"/>
    </w:rPr>
  </w:style>
  <w:style w:type="character" w:styleId="ListLabel276">
    <w:name w:val="ListLabel 276"/>
    <w:qFormat/>
    <w:rPr>
      <w:rFonts w:cs="Symbol"/>
    </w:rPr>
  </w:style>
  <w:style w:type="character" w:styleId="ListLabel277">
    <w:name w:val="ListLabel 277"/>
    <w:qFormat/>
    <w:rPr>
      <w:rFonts w:cs="Symbol"/>
    </w:rPr>
  </w:style>
  <w:style w:type="character" w:styleId="ListLabel278">
    <w:name w:val="ListLabel 278"/>
    <w:qFormat/>
    <w:rPr>
      <w:rFonts w:cs="Symbol"/>
    </w:rPr>
  </w:style>
  <w:style w:type="character" w:styleId="ListLabel279">
    <w:name w:val="ListLabel 279"/>
    <w:qFormat/>
    <w:rPr>
      <w:rFonts w:cs="Symbol"/>
    </w:rPr>
  </w:style>
  <w:style w:type="character" w:styleId="ListLabel280">
    <w:name w:val="ListLabel 280"/>
    <w:qFormat/>
    <w:rPr>
      <w:rFonts w:ascii="Noto Sans" w:hAnsi="Noto Sans" w:cs="OpenSymbol"/>
      <w:b/>
      <w:sz w:val="20"/>
    </w:rPr>
  </w:style>
  <w:style w:type="character" w:styleId="ListLabel281">
    <w:name w:val="ListLabel 281"/>
    <w:qFormat/>
    <w:rPr>
      <w:rFonts w:cs="OpenSymbol"/>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ascii="Noto Sans" w:hAnsi="Noto Sans" w:cs="OpenSymbol"/>
      <w:b w:val="false"/>
      <w:sz w:val="20"/>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ascii="Noto Sans" w:hAnsi="Noto Sans"/>
      <w:b/>
      <w:bCs/>
      <w:sz w:val="16"/>
      <w:szCs w:val="16"/>
    </w:rPr>
  </w:style>
  <w:style w:type="character" w:styleId="ListLabel299">
    <w:name w:val="ListLabel 299"/>
    <w:qFormat/>
    <w:rPr>
      <w:rFonts w:ascii="Noto Sans" w:hAnsi="Noto Sans"/>
      <w:i/>
      <w:iCs/>
      <w:sz w:val="20"/>
      <w:szCs w:val="20"/>
      <w:u w:val="none"/>
      <w:lang w:val="es" w:bidi="ar-SA"/>
    </w:rPr>
  </w:style>
  <w:style w:type="character" w:styleId="ListLabel300">
    <w:name w:val="ListLabel 300"/>
    <w:qFormat/>
    <w:rPr>
      <w:rFonts w:ascii="Noto Sans" w:hAnsi="Noto Sans"/>
      <w:color w:val="000000"/>
      <w:sz w:val="20"/>
      <w:szCs w:val="20"/>
      <w:u w:val="none"/>
      <w:lang w:val="es" w:bidi="ar-SA"/>
    </w:rPr>
  </w:style>
  <w:style w:type="character" w:styleId="ListLabel301">
    <w:name w:val="ListLabel 301"/>
    <w:qFormat/>
    <w:rPr>
      <w:rFonts w:ascii="Noto Sans" w:hAnsi="Noto Sans" w:cs="OpenSymbol"/>
      <w:b/>
      <w:sz w:val="20"/>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ascii="Noto Sans" w:hAnsi="Noto Sans" w:cs="OpenSymbol"/>
      <w:b w:val="false"/>
      <w:sz w:val="20"/>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ascii="Noto Sans" w:hAnsi="Noto Sans"/>
      <w:b/>
      <w:bCs/>
      <w:sz w:val="16"/>
      <w:szCs w:val="16"/>
    </w:rPr>
  </w:style>
  <w:style w:type="character" w:styleId="ListLabel320">
    <w:name w:val="ListLabel 320"/>
    <w:qFormat/>
    <w:rPr>
      <w:rFonts w:ascii="Noto Sans" w:hAnsi="Noto Sans"/>
      <w:i/>
      <w:iCs/>
      <w:sz w:val="20"/>
      <w:szCs w:val="20"/>
      <w:u w:val="none"/>
      <w:lang w:val="es" w:bidi="ar-SA"/>
    </w:rPr>
  </w:style>
  <w:style w:type="character" w:styleId="ListLabel321">
    <w:name w:val="ListLabel 321"/>
    <w:qFormat/>
    <w:rPr>
      <w:rFonts w:ascii="Noto Sans" w:hAnsi="Noto Sans"/>
      <w:color w:val="000000"/>
      <w:sz w:val="20"/>
      <w:szCs w:val="20"/>
      <w:u w:val="none"/>
      <w:lang w:val="es" w:bidi="ar-SA"/>
    </w:rPr>
  </w:style>
  <w:style w:type="character" w:styleId="ListLabel322">
    <w:name w:val="ListLabel 322"/>
    <w:qFormat/>
    <w:rPr>
      <w:rFonts w:cs="OpenSymbol"/>
      <w:b/>
      <w:sz w:val="20"/>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OpenSymbol"/>
    </w:rPr>
  </w:style>
  <w:style w:type="character" w:styleId="ListLabel326">
    <w:name w:val="ListLabel 326"/>
    <w:qFormat/>
    <w:rPr>
      <w:rFonts w:cs="OpenSymbol"/>
    </w:rPr>
  </w:style>
  <w:style w:type="character" w:styleId="ListLabel327">
    <w:name w:val="ListLabel 327"/>
    <w:qFormat/>
    <w:rPr>
      <w:rFonts w:cs="OpenSymbol"/>
    </w:rPr>
  </w:style>
  <w:style w:type="character" w:styleId="ListLabel328">
    <w:name w:val="ListLabel 328"/>
    <w:qFormat/>
    <w:rPr>
      <w:rFonts w:cs="OpenSymbol"/>
    </w:rPr>
  </w:style>
  <w:style w:type="character" w:styleId="ListLabel329">
    <w:name w:val="ListLabel 329"/>
    <w:qFormat/>
    <w:rPr>
      <w:rFonts w:cs="OpenSymbol"/>
    </w:rPr>
  </w:style>
  <w:style w:type="character" w:styleId="ListLabel330">
    <w:name w:val="ListLabel 330"/>
    <w:qFormat/>
    <w:rPr>
      <w:rFonts w:cs="OpenSymbol"/>
    </w:rPr>
  </w:style>
  <w:style w:type="character" w:styleId="ListLabel331">
    <w:name w:val="ListLabel 331"/>
    <w:qFormat/>
    <w:rPr>
      <w:rFonts w:ascii="Noto Sans" w:hAnsi="Noto Sans" w:cs="OpenSymbol"/>
      <w:b w:val="false"/>
      <w:sz w:val="22"/>
    </w:rPr>
  </w:style>
  <w:style w:type="character" w:styleId="ListLabel332">
    <w:name w:val="ListLabel 332"/>
    <w:qFormat/>
    <w:rPr>
      <w:rFonts w:cs="OpenSymbol"/>
    </w:rPr>
  </w:style>
  <w:style w:type="character" w:styleId="ListLabel333">
    <w:name w:val="ListLabel 333"/>
    <w:qFormat/>
    <w:rPr>
      <w:rFonts w:cs="OpenSymbol"/>
    </w:rPr>
  </w:style>
  <w:style w:type="character" w:styleId="ListLabel334">
    <w:name w:val="ListLabel 334"/>
    <w:qFormat/>
    <w:rPr>
      <w:rFonts w:cs="OpenSymbol"/>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ascii="Noto Sans" w:hAnsi="Noto Sans"/>
      <w:b/>
      <w:bCs/>
      <w:sz w:val="22"/>
      <w:szCs w:val="22"/>
    </w:rPr>
  </w:style>
  <w:style w:type="character" w:styleId="EnlacedeInternet">
    <w:name w:val="Enlace de Internet"/>
    <w:rPr>
      <w:color w:val="000080"/>
      <w:u w:val="single"/>
      <w:lang w:val="es" w:eastAsia="zxx" w:bidi="zxx"/>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Encapalament">
    <w:name w:val="Encapçalament"/>
    <w:basedOn w:val="Normal"/>
    <w:next w:val="Cuerpodetexto"/>
    <w:qFormat/>
    <w:pPr>
      <w:keepNext w:val="true"/>
      <w:spacing w:before="240" w:after="120"/>
    </w:pPr>
    <w:rPr>
      <w:rFonts w:ascii="Liberation Sans" w:hAnsi="Liberation Sans" w:eastAsia="Microsoft YaHei" w:cs="Arial"/>
      <w:sz w:val="28"/>
      <w:szCs w:val="28"/>
    </w:rPr>
  </w:style>
  <w:style w:type="paragraph" w:styleId="Ndex">
    <w:name w:val="Índex"/>
    <w:basedOn w:val="Normal"/>
    <w:qFormat/>
    <w:pPr>
      <w:suppressLineNumbers/>
    </w:pPr>
    <w:rPr>
      <w:rFonts w:cs="Arial"/>
    </w:rPr>
  </w:style>
  <w:style w:type="paragraph" w:styleId="Contingutdelataula">
    <w:name w:val="Contingut de la taula"/>
    <w:basedOn w:val="Normal"/>
    <w:qFormat/>
    <w:pPr>
      <w:suppressLineNumbers/>
    </w:pPr>
    <w:rPr/>
  </w:style>
  <w:style w:type="paragraph" w:styleId="Encapalamentdelataula">
    <w:name w:val="Encapçalament de la taula"/>
    <w:basedOn w:val="Contingutdelataula"/>
    <w:qFormat/>
    <w:pPr>
      <w:suppressLineNumbers/>
      <w:jc w:val="center"/>
    </w:pPr>
    <w:rPr>
      <w:b/>
      <w:bCs/>
    </w:rPr>
  </w:style>
  <w:style w:type="paragraph" w:styleId="Notaalpie">
    <w:name w:val="Footnote Text"/>
    <w:basedOn w:val="Normal"/>
    <w:pPr>
      <w:suppressLineNumbers/>
      <w:ind w:left="339" w:right="0" w:hanging="339"/>
    </w:pPr>
    <w:rPr>
      <w:sz w:val="20"/>
      <w:szCs w:val="20"/>
    </w:rPr>
  </w:style>
  <w:style w:type="paragraph" w:styleId="Cabecera">
    <w:name w:val="Header"/>
    <w:basedOn w:val="Normal"/>
    <w:pPr>
      <w:suppressLineNumbers/>
      <w:tabs>
        <w:tab w:val="clear" w:pos="936"/>
        <w:tab w:val="center" w:pos="7285" w:leader="none"/>
        <w:tab w:val="right" w:pos="14570" w:leader="none"/>
      </w:tabs>
    </w:pPr>
    <w:rPr/>
  </w:style>
  <w:style w:type="paragraph" w:styleId="LOnormal">
    <w:name w:val="LO-normal"/>
    <w:qFormat/>
    <w:pPr>
      <w:widowControl/>
      <w:overflowPunct w:val="false"/>
      <w:bidi w:val="0"/>
      <w:spacing w:before="0" w:after="120"/>
      <w:jc w:val="both"/>
    </w:pPr>
    <w:rPr>
      <w:rFonts w:ascii="LegacySanITCBoo" w:hAnsi="LegacySanITCBoo" w:eastAsia="LegacySanITCBoo" w:cs="LegacySanITCBoo"/>
      <w:color w:val="000000"/>
      <w:kern w:val="2"/>
      <w:sz w:val="26"/>
      <w:szCs w:val="26"/>
      <w:lang w:val="es"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
  <TotalTime>510</TotalTime>
  <Application>LibreOffice/6.1.5.2$Windows_x86 LibreOffice_project/90f8dcf33c87b3705e78202e3df5142b201bd805</Application>
  <Pages>5</Pages>
  <Words>675</Words>
  <Characters>3777</Characters>
  <CharactersWithSpaces>4414</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2023-01-10T09:41:58Z</dcterms:created>
  <dc:creator/>
  <dc:description/>
  <dc:language>ca-ES</dc:language>
  <cp:lastModifiedBy/>
  <cp:lastPrinted>2025-02-10T08:34:58Z</cp:lastPrinted>
  <dcterms:modified xsi:type="dcterms:W3CDTF">2026-08-03T08:58:39Z</dcterms:modified>
  <cp:revision>38</cp:revision>
  <dc:subject/>
  <dc:title/>
</cp:coreProperties>
</file>